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0" w:rsidRPr="00816DE8" w:rsidRDefault="004840D0" w:rsidP="004840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Вебінари у червні 2026</w:t>
      </w:r>
      <w:r w:rsidRPr="00816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4840D0" w:rsidRDefault="004840D0" w:rsidP="004840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DE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проректора з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b/>
          <w:sz w:val="28"/>
          <w:szCs w:val="28"/>
        </w:rPr>
        <w:t>Інни</w:t>
      </w:r>
      <w:proofErr w:type="spellEnd"/>
      <w:r w:rsidRPr="00816DE8">
        <w:rPr>
          <w:rFonts w:ascii="Times New Roman" w:hAnsi="Times New Roman" w:cs="Times New Roman"/>
          <w:b/>
          <w:sz w:val="28"/>
          <w:szCs w:val="28"/>
        </w:rPr>
        <w:t xml:space="preserve"> Гончарук</w:t>
      </w:r>
      <w:r w:rsidRPr="00816DE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, Research4Life,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6DE8">
        <w:rPr>
          <w:rFonts w:ascii="Times New Roman" w:hAnsi="Times New Roman" w:cs="Times New Roman"/>
          <w:sz w:val="28"/>
          <w:szCs w:val="28"/>
        </w:rPr>
        <w:t>інницького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пропонуємо вашій увазі переглянути такі</w:t>
      </w:r>
      <w:r w:rsidRPr="00816DE8">
        <w:rPr>
          <w:rFonts w:ascii="Times New Roman" w:hAnsi="Times New Roman" w:cs="Times New Roman"/>
          <w:sz w:val="28"/>
          <w:szCs w:val="28"/>
        </w:rPr>
        <w:t xml:space="preserve"> вебінари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компан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Elsevier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E7C64">
        <w:t xml:space="preserve"> </w:t>
      </w:r>
      <w:proofErr w:type="spellStart"/>
      <w:r w:rsidRPr="002E7C64">
        <w:rPr>
          <w:rFonts w:ascii="Times New Roman" w:hAnsi="Times New Roman" w:cs="Times New Roman"/>
          <w:sz w:val="28"/>
          <w:szCs w:val="28"/>
        </w:rPr>
        <w:t>УкрІНТЕІ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платформ</w:t>
      </w:r>
      <w:r w:rsidRPr="00816DE8">
        <w:rPr>
          <w:rFonts w:ascii="Times New Roman" w:hAnsi="Times New Roman" w:cs="Times New Roman"/>
          <w:sz w:val="28"/>
          <w:szCs w:val="28"/>
        </w:rPr>
        <w:t xml:space="preserve"> Research4Life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Bentham</w:t>
      </w:r>
      <w:proofErr w:type="spellEnd"/>
      <w:r w:rsidRPr="00950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0502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16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D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участь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попередньою реєстрацією</w:t>
      </w:r>
      <w:r w:rsidRPr="00816DE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077" w:type="dxa"/>
        <w:jc w:val="center"/>
        <w:tblInd w:w="-1615" w:type="dxa"/>
        <w:tblLook w:val="04A0" w:firstRow="1" w:lastRow="0" w:firstColumn="1" w:lastColumn="0" w:noHBand="0" w:noVBand="1"/>
      </w:tblPr>
      <w:tblGrid>
        <w:gridCol w:w="498"/>
        <w:gridCol w:w="1476"/>
        <w:gridCol w:w="1499"/>
        <w:gridCol w:w="10748"/>
        <w:gridCol w:w="1856"/>
      </w:tblGrid>
      <w:tr w:rsidR="002050C7" w:rsidRPr="00444D24" w:rsidTr="00585C59">
        <w:trPr>
          <w:jc w:val="center"/>
        </w:trPr>
        <w:tc>
          <w:tcPr>
            <w:tcW w:w="498" w:type="dxa"/>
          </w:tcPr>
          <w:p w:rsidR="002050C7" w:rsidRPr="00444D24" w:rsidRDefault="002050C7" w:rsidP="00585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476" w:type="dxa"/>
          </w:tcPr>
          <w:p w:rsidR="002050C7" w:rsidRPr="00444D24" w:rsidRDefault="002050C7" w:rsidP="00585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99" w:type="dxa"/>
          </w:tcPr>
          <w:p w:rsidR="002050C7" w:rsidRPr="00444D24" w:rsidRDefault="002050C7" w:rsidP="00585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Компанія</w:t>
            </w:r>
          </w:p>
        </w:tc>
        <w:tc>
          <w:tcPr>
            <w:tcW w:w="10748" w:type="dxa"/>
          </w:tcPr>
          <w:p w:rsidR="002050C7" w:rsidRPr="00444D24" w:rsidRDefault="002050C7" w:rsidP="00585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856" w:type="dxa"/>
          </w:tcPr>
          <w:p w:rsidR="002050C7" w:rsidRPr="00444D24" w:rsidRDefault="002050C7" w:rsidP="00585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4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2050C7" w:rsidRPr="00444D24" w:rsidTr="00585C59">
        <w:trPr>
          <w:jc w:val="center"/>
        </w:trPr>
        <w:tc>
          <w:tcPr>
            <w:tcW w:w="498" w:type="dxa"/>
          </w:tcPr>
          <w:p w:rsidR="002050C7" w:rsidRPr="002F63C1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6" w:type="dxa"/>
          </w:tcPr>
          <w:p w:rsidR="002050C7" w:rsidRPr="002F63C1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</w:tc>
        <w:tc>
          <w:tcPr>
            <w:tcW w:w="1499" w:type="dxa"/>
          </w:tcPr>
          <w:p w:rsidR="002050C7" w:rsidRPr="00E41F9A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ДНТБ</w:t>
            </w:r>
          </w:p>
        </w:tc>
        <w:tc>
          <w:tcPr>
            <w:tcW w:w="10748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Штучний інтелект уже в аудиторії: доброчесність, контроль якості та нові освітні практики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Штучний інтелект уже в аудиторії: як сьогодні перевіряти академічні роботи. Генеративні інструменти ШІ суттєво змінюють підходи до створення наукових та навчальних текстів. Водночас виникають нові питання щодо перевірки академічних робіт, оцінювання самостійності виконання завдань, виявлення </w:t>
            </w:r>
            <w:proofErr w:type="spellStart"/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недоброчесних</w:t>
            </w:r>
            <w:proofErr w:type="spellEnd"/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практик та формування культури відповідального використання штучного інтелекту в освіті й науці. Особливої актуальності ці питання набувають у зв’язку з набранням чинності 1 лютого 2026 року Законом України «Про академічну доброчесність». Закон запроваджує системні підходи до забезпечення академічної доброчесності, визначає основні принципи та вимоги до учасників освітнього і наукового процесів, а також посилює відповідальність за її порушення. У цих умовах особливо важливим стає впровадження сучасних інструментів перевірки академічних текстів та формування прозорих процедур оцінювання. Під час вебінару учасники дізнаються:  як змінилися підходи до перевірки академічних текстів в умовах поширення ШІ;  які можливості надає сучасний звіт подібності StrikePlagiarism.com;  як аналізувати тексти, створені або модифіковані за допомогою інструментів штучного інтелекту;  як виявляти приховані зміни та маніпуляції в текстах;  які законодавчі новації у сфері академічної доброчесності необхідно враховувати закладам освіти та науковим установам; - як забезпечити прозоре та об'єктивне оцінювання студентських робіт;  які міжнародні практики відповідального використання штучного інтелекту впроваджуються в університетах світу. Окрему увагу буде приділено використанню штучного інтелекту в </w:t>
            </w:r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науковій діяльності та освіті, можливостям і ризикам генеративних моделей, а також формуванню внутрішніх політик закладів щодо застосування ШІ в освітньому та дослідницькому процесах.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Запрошуємо на вебінар від кампанії  </w:t>
            </w:r>
            <w:proofErr w:type="spellStart"/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StrikePlagiarism</w:t>
            </w:r>
            <w:proofErr w:type="spellEnd"/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присвячений сучасним викликам академічної доброчесності в умовах стрімкого розвитку штучного інтелекту.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5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Спікерка</w:t>
            </w:r>
            <w:proofErr w:type="spellEnd"/>
            <w:r w:rsidRPr="00B75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Дарія Іванова (</w:t>
            </w:r>
            <w:proofErr w:type="spellStart"/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StrikePlagiarism</w:t>
            </w:r>
            <w:proofErr w:type="spellEnd"/>
            <w:r w:rsidRPr="00B7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050C7" w:rsidRPr="0033692D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7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history="1">
              <w:r w:rsidRPr="00EC2A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https://us02web.zoom.us/meeting/register/j5IlJ2iIQ2-IyY184E2NyA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2050C7" w:rsidRPr="002F63C1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11:00</w:t>
            </w:r>
          </w:p>
        </w:tc>
      </w:tr>
      <w:tr w:rsidR="002050C7" w:rsidRPr="00444D24" w:rsidTr="00585C59">
        <w:trPr>
          <w:jc w:val="center"/>
        </w:trPr>
        <w:tc>
          <w:tcPr>
            <w:tcW w:w="498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76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23.06.2026</w:t>
            </w:r>
          </w:p>
        </w:tc>
        <w:tc>
          <w:tcPr>
            <w:tcW w:w="1499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Проблемні питання цифрової трансформації сфери НТІ в Україні в контексті інтеграції до Європейського Дослідницького Простору (ЄДП).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(укр. мова)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семінару будуть представлені результати аналізу системи досліджень та інновацій (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ДіІ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 Україні в контексті її відповідності сучасним вимогам цифрової трансформації та пріоритетам Європейського дослідницького простору (ЄДП).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74D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Спікерки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Людмила МУСІНА, канд.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наук, пров. н. с.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Тетяна КВАША, заввідділу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попередньої реєстрації за посиланням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6" w:history="1">
              <w:r w:rsidRPr="00872A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https://webinar.ukrintei.ua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тих, хто не можу бути присутнім на семінарі, але зацікавлений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тематиці, запис та презентацію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буде викладено наступного дня </w:t>
            </w:r>
            <w:hyperlink r:id="rId7" w:history="1">
              <w:r w:rsidRPr="00872A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https://webinar.ukrintei.ua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Бажаючим отримати сертифікат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(вартість 100 грн.), звертатися за реквізитами до Вікторії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872A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(050) 351-59-22</w:t>
            </w:r>
          </w:p>
        </w:tc>
        <w:tc>
          <w:tcPr>
            <w:tcW w:w="1856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</w:tr>
      <w:tr w:rsidR="002050C7" w:rsidRPr="00444D24" w:rsidTr="00585C59">
        <w:trPr>
          <w:jc w:val="center"/>
        </w:trPr>
        <w:tc>
          <w:tcPr>
            <w:tcW w:w="498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76" w:type="dxa"/>
          </w:tcPr>
          <w:p w:rsidR="002050C7" w:rsidRPr="002F63C1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25.06.2026</w:t>
            </w:r>
          </w:p>
        </w:tc>
        <w:tc>
          <w:tcPr>
            <w:tcW w:w="1499" w:type="dxa"/>
          </w:tcPr>
          <w:p w:rsidR="002050C7" w:rsidRPr="00E41F9A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Clarivate</w:t>
            </w:r>
            <w:proofErr w:type="spellEnd"/>
          </w:p>
        </w:tc>
        <w:tc>
          <w:tcPr>
            <w:tcW w:w="10748" w:type="dxa"/>
          </w:tcPr>
          <w:p w:rsidR="002050C7" w:rsidRPr="00ED3E56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Journal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Citation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Reports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™ 2026</w:t>
            </w:r>
            <w:r w:rsidRPr="00D40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(укр. мова)</w:t>
            </w:r>
          </w:p>
          <w:p w:rsidR="002050C7" w:rsidRPr="00822132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9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Тези:</w:t>
            </w:r>
            <w: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Journal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Citation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Reports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™ (JCR) за 2026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надає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світовій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дослідницькій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спільноті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достовірні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прозорі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показники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оцінки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ефективності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журналів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наукового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впливу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На вебінарі ми представимо JCR 2026 року, у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оновлення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ключових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показників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висвітлення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журналах та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аналіз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моделях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публікацій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цитування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Учасники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отримають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чітке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розуміння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того, як JCR </w:t>
            </w:r>
            <w:proofErr w:type="spellStart"/>
            <w:proofErr w:type="gram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ідтримує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обґрунтованих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рішень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авторами, редакторами,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бібліотекарами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керівниками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досліджень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найкращі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практики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відповідального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використання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показників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рівні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журналів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включаючи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імпакт-фактор журналу (JIF),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доступний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профілях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JCR разом з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описовою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інформацією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відкритий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доступ та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авторів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Сесія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завершиться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практичними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прикладами та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сесією</w:t>
            </w:r>
            <w:proofErr w:type="spellEnd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0A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запитань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  <w:lang w:val="uk-UA"/>
              </w:rPr>
              <w:t>.</w:t>
            </w:r>
          </w:p>
          <w:p w:rsidR="002050C7" w:rsidRPr="0033692D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9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9" w:history="1">
              <w:r w:rsidRPr="000E49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https://us02web.zoom.us/webinar/register/WN_ER-QeqOdTHiBmpt2pYH5qw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56" w:type="dxa"/>
          </w:tcPr>
          <w:p w:rsidR="002050C7" w:rsidRPr="002F63C1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10:15</w:t>
            </w:r>
          </w:p>
        </w:tc>
      </w:tr>
      <w:tr w:rsidR="002050C7" w:rsidRPr="00444D24" w:rsidTr="00585C59">
        <w:trPr>
          <w:jc w:val="center"/>
        </w:trPr>
        <w:tc>
          <w:tcPr>
            <w:tcW w:w="498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30.06.2026</w:t>
            </w:r>
          </w:p>
        </w:tc>
        <w:tc>
          <w:tcPr>
            <w:tcW w:w="1499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УкрІНТЕІ</w:t>
            </w:r>
            <w:proofErr w:type="spellEnd"/>
          </w:p>
        </w:tc>
        <w:tc>
          <w:tcPr>
            <w:tcW w:w="10748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Тема: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Soft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skills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ресурс успішності особистості: навички, що визначають майбутнє. (укр. мова)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E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Тези: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 буде корисний викладачам, науковцям, здобувачам освіти, керівникам, фахівцям різних сфер та всім, хто прагне краще розуміти себе, розвивати власний потенціал і впевнено рухатися вперед. Під час зустрічі ви дізнаєтесь: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eastAsia="MS Gothic" w:hAnsi="Times New Roman" w:cs="Times New Roman" w:hint="eastAsia"/>
                <w:sz w:val="28"/>
                <w:szCs w:val="28"/>
                <w:lang w:val="uk-UA"/>
              </w:rPr>
              <w:t>✓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таке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soft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skills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чому вони стали одними з найважливіших навичок сучасної людини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eastAsia="MS Gothic" w:hAnsi="Times New Roman" w:cs="Times New Roman" w:hint="eastAsia"/>
                <w:sz w:val="28"/>
                <w:szCs w:val="28"/>
                <w:lang w:val="uk-UA"/>
              </w:rPr>
              <w:t>✓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емоційний інтелект впливає на комунікацію, рішення та стосунки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eastAsia="MS Gothic" w:hAnsi="Times New Roman" w:cs="Times New Roman" w:hint="eastAsia"/>
                <w:sz w:val="28"/>
                <w:szCs w:val="28"/>
                <w:lang w:val="uk-UA"/>
              </w:rPr>
              <w:t>✓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чому критичне і креативне мислення є основою адаптації до змін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050C7" w:rsidRPr="00974D23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eastAsia="MS Gothic" w:hAnsi="Times New Roman" w:cs="Times New Roman" w:hint="eastAsia"/>
                <w:sz w:val="28"/>
                <w:szCs w:val="28"/>
                <w:lang w:val="uk-UA"/>
              </w:rPr>
              <w:t>✓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розвивати </w:t>
            </w:r>
            <w:proofErr w:type="spell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стресостійкість</w:t>
            </w:r>
            <w:proofErr w:type="spell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ефективність у складних ситуаціях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4D23">
              <w:rPr>
                <w:rFonts w:ascii="Times New Roman" w:eastAsia="MS Gothic" w:hAnsi="Times New Roman" w:cs="Times New Roman" w:hint="eastAsia"/>
                <w:sz w:val="28"/>
                <w:szCs w:val="28"/>
                <w:lang w:val="uk-UA"/>
              </w:rPr>
              <w:t>✓</w:t>
            </w:r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proofErr w:type="gramEnd"/>
            <w:r w:rsidRPr="00974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навички допомагають у командній роботі, лідерстві та професійному розвитку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1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Спікерка</w:t>
            </w:r>
            <w:proofErr w:type="spellEnd"/>
            <w:r w:rsidRPr="00581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Ксенія АНДРОСОВИЧ, д-р </w:t>
            </w:r>
            <w:proofErr w:type="spellStart"/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наук, старший дослідник, професор кафедри психології та суспільно-гуманітарних наук, Інститут обдарованої дитини НАПН України.</w:t>
            </w:r>
          </w:p>
          <w:p w:rsidR="002050C7" w:rsidRPr="00581D4A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 без поперед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ньої реєстрації за посиланням: </w:t>
            </w:r>
            <w:hyperlink r:id="rId10" w:history="1">
              <w:r w:rsidRPr="00872A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https://webinar.ukrintei.ua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50C7" w:rsidRPr="00581D4A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тих, хто не можу бути присутнім на семінарі, але зацікавлений у тематиці, запис та презентацію буде викладено наступного дня </w:t>
            </w:r>
            <w:hyperlink r:id="rId11" w:history="1">
              <w:r w:rsidRPr="00872A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https://webinar.ukrintei.ua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50C7" w:rsidRDefault="002050C7" w:rsidP="00585C5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81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Бажаючим отримати сертифікат</w:t>
            </w:r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(вартість 100 грн.), звертатися за реквізитами до Вікторії </w:t>
            </w:r>
            <w:proofErr w:type="spellStart"/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Матусевич</w:t>
            </w:r>
            <w:proofErr w:type="spellEnd"/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Pr="00872A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vv.matusevych@gmail.com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1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(050) 351-59-22</w:t>
            </w:r>
          </w:p>
        </w:tc>
        <w:tc>
          <w:tcPr>
            <w:tcW w:w="1856" w:type="dxa"/>
          </w:tcPr>
          <w:p w:rsidR="002050C7" w:rsidRDefault="002050C7" w:rsidP="00585C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11:00</w:t>
            </w:r>
          </w:p>
        </w:tc>
      </w:tr>
    </w:tbl>
    <w:p w:rsidR="002050C7" w:rsidRPr="002050C7" w:rsidRDefault="002050C7" w:rsidP="002050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050C7" w:rsidRPr="002050C7" w:rsidSect="004840D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00"/>
    <w:rsid w:val="00174B28"/>
    <w:rsid w:val="002050C7"/>
    <w:rsid w:val="003F67C5"/>
    <w:rsid w:val="004840D0"/>
    <w:rsid w:val="00843C00"/>
    <w:rsid w:val="00C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0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.matusevych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inar.ukrintei.ua" TargetMode="External"/><Relationship Id="rId12" Type="http://schemas.openxmlformats.org/officeDocument/2006/relationships/hyperlink" Target="mailto:vv.matusevyc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ukrintei.ua" TargetMode="External"/><Relationship Id="rId11" Type="http://schemas.openxmlformats.org/officeDocument/2006/relationships/hyperlink" Target="https://webinar.ukrintei.ua" TargetMode="External"/><Relationship Id="rId5" Type="http://schemas.openxmlformats.org/officeDocument/2006/relationships/hyperlink" Target="https://us02web.zoom.us/meeting/register/j5IlJ2iIQ2-IyY184E2NyA" TargetMode="External"/><Relationship Id="rId10" Type="http://schemas.openxmlformats.org/officeDocument/2006/relationships/hyperlink" Target="https://webinar.ukrinte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ER-QeqOdTHiBmpt2pYH5q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5449</Characters>
  <Application>Microsoft Office Word</Application>
  <DocSecurity>0</DocSecurity>
  <Lines>45</Lines>
  <Paragraphs>12</Paragraphs>
  <ScaleCrop>false</ScaleCrop>
  <Company>MICROSOFT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Library_3s</dc:creator>
  <cp:keywords/>
  <dc:description/>
  <cp:lastModifiedBy>Library_3s</cp:lastModifiedBy>
  <cp:revision>4</cp:revision>
  <dcterms:created xsi:type="dcterms:W3CDTF">2026-06-01T07:25:00Z</dcterms:created>
  <dcterms:modified xsi:type="dcterms:W3CDTF">2026-06-22T05:47:00Z</dcterms:modified>
</cp:coreProperties>
</file>